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перечень индикаторов риска нарушения обязательныхтребований при осуществлении федерального государственногопожарного надзора.</w:t>
            </w:r>
            <w:br/>
            <w:br/>
            <w:r>
              <w:rPr/>
              <w:t xml:space="preserve">Приказом МЧС России от 04 июля 2023 г. № 705 «О внесении измененийв перечень 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364»дополнительно установлен новый индикатор риска нарушенияобязательных требований:</w:t>
            </w:r>
            <w:br/>
            <w:br/>
            <w:r>
              <w:rPr/>
              <w:t xml:space="preserve">наличие у контрольного (надзорного) органа информации о владении,пользовании или распоряжении контролируемым лицом объектом надзора,на котором в тридцатидневный период, предшествующий дню принятиярешения о приостановлении действия лицензии в связи с грубыминарушениями лицензионных требований, были проведены работы помонтажу, техническому обслуживанию и ремонту средств обеспеченияпожарной безопасности юридическим лицом (индивидуальнымпредпринимателем), осуществлявшим указанную деятельность насоответствующем объекте надзора, за исключением случаев, когда зауказанный период в отношении объекта надзора проводились плановоеконтрольное (надзорное) мероприятие и (или) внеплановое контрольное(надзорное) мероприятие в части оценки технического состояниясредств обеспечения пожарной безопасности.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10 августа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2026-01-30T22:12:28+03:00</dcterms:created>
  <dcterms:modified xsi:type="dcterms:W3CDTF">2026-01-30T22:12:28+03:00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