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Продлён мораторий на проведение проверок до 2030года.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Продлён мораторий на проведение проверок до 2030 года.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Постановлением Правительства Российской Федерации от 10 марта2023 г. № 372 «О внесении изменений в некоторые акты правительствароссийской федерации и признании утратившим силу отдельногоположения акта правительства Российской Федерации», опубликованным17 марта 2023 г. на официальном интернет-портале правовойинформации Российской Федерации, внесены изменения в ПостановлениеПравительства Российский Федерации от 10.03.2022 № 336 «Обособенностях организации и осуществления государственного контроля(надзора), муниципального контроля».</w:t>
            </w:r>
            <w:br/>
            <w:br/>
            <w:br/>
            <w:r>
              <w:rPr/>
              <w:t xml:space="preserve">Установлены особенности осуществления государственного имуниципального контроля (надзора) до 2030 г. В частности, по общемуправилу плановые контрольные (надзорные) мероприятия,осуществляемые в соответствии с Федеральным законом № 248-ФЗ, могутпроводиться только в отношении объектов контроля (надзора),отнесённых к категориям чрезвычайно высокого и высокого риска,опасным производственным объектам II класса опасности,гидротехническим сооружениям II класса.</w:t>
            </w:r>
            <w:br/>
            <w:br/>
            <w:r>
              <w:rPr/>
              <w:t xml:space="preserve">В планы проведения плановых контрольных (надзорных) мероприятий до2030 года не включаются плановые контрольные (надзорные)мероприятия в отношении государственных и муниципальных учрежденийдошкольного и начального общего образования, основного общего исреднего общего образования, объекты контроля которых отнесены ккатегориям чрезвычайно высокого и высокого риска, а в отношениитаких учреждений может проводиться профилактический визитпродолжительностью один день, не предусматривающий возможностьотказа от его проведения. В таком случае профилактический визитпроводится в том числе в целях оценки соблюдения обязательныхтребований и предусматривает возможность проведения осмотра, отборапроб (образцов), истребования документов, испытания,инструментального обследования, экспертизы. Срок проведенияпрофилактического визита может быть продлён на срок, необходимыйдля инструментального обследования, но не более 3 рабочих дней.Если по результатам такого профилактического визита выявленынарушения обязательных требований, то контролируемому лицу илиоргану, осуществляющему функции и полномочия учредителяконтролируемого лица, выдаётся предписание об устранении выявленныхнарушений. В случае выдачи предписания об устранении выявленныхнарушений контролируемому лицу копия указанного предписаниянаправляется в орган, осуществляющий функции и полномочияучредителя контролируемого лица.</w:t>
            </w:r>
            <w:br/>
            <w:br/>
            <w:r>
              <w:rPr/>
              <w:t xml:space="preserve">Также установлено, что до 2030 года в рамках видов государственногоконтроля (надзора), муниципального контроля, порядок организации иосуществления которых регулируются Федеральным законом «Огосударственном контроле (надзоре) и муниципальном контроле вРоссийской Федерации», в отношении контролируемых лиц могут бытьпроведены профилактические визиты, не предусматривающие возможностьотказа от их проведения, по следующим основаниям:</w:t>
            </w:r>
            <w:br/>
            <w:br/>
            <w:r>
              <w:rPr/>
              <w:t xml:space="preserve">по поручению Президента Российской Федерации;</w:t>
            </w:r>
            <w:br/>
            <w:br/>
            <w:r>
              <w:rPr/>
              <w:t xml:space="preserve">по поручению Председателя Правительства Российской Федерации;</w:t>
            </w:r>
            <w:br/>
            <w:br/>
            <w:r>
              <w:rPr/>
              <w:t xml:space="preserve">по поручению Заместителя Председателя Правительства РоссийскойФедерации, согласованному с Заместителем Председателя ПравительстваРоссийской Федерации - Руководителем Аппарата ПравительстваРоссийской Федерации.</w:t>
            </w:r>
            <w:br/>
            <w:br/>
            <w:r>
              <w:rPr/>
              <w:t xml:space="preserve">До 2030 года жалоба на решение контрольного (надзорного) органа,действия (бездействие) его должностных лиц (в том числе нанарушение требований, установленных настоящим постановлением),подаваемая в соответствии с главой 9 Федерального закона «Огосударственном контроле (надзоре) и муниципальном контроле вРоссийской Федерации», подписывается усиленной квалифицированнойэлектронной подписью, усиленной неквалифицированной электроннойподписью, сертификат ключа проверки которой создан и используется винфраструктуре, обеспечивающей информационно-технологическоевзаимодействие информационных систем, используемых дляпредоставления государственных и муниципальных услуг в электроннойформе, в установленном Правительством Российской Федерации порядке,или простой электронной подписью физического лица, в том числедействующего от имени юридического лица (руководителя либо лица,которому делегированы соответствующие полномочия, в том числе сиспользованием федеральной государственной информационной системы«Единый портал государственных и муниципальных услуг (функций)»)или являющегося индивидуальным предпринимателем.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2026-08-13T05:37:59+03:00</dcterms:created>
  <dcterms:modified xsi:type="dcterms:W3CDTF">2026-08-13T05:37:59+03:00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