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Продлён мораторий на проведение проверок до 2030года.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Продлён мораторий на проведение проверок до 2030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10 марта2023 г. № 372 «О внесении изменений в некоторые акты правительствароссийской федерации и признании утратившим силу отдельногоположения акта правительства Российской Федерации», опубликованным17 марта 2023 г. на официальном интернет-портале правовойинформации Российской Федерации, внесены изменения в ПостановлениеПравительства Российский Федерации от 10.03.2022 № 336 «Обособенностях организации и осуществления государственного контроля(надзора), муниципального контроля».</w:t>
            </w:r>
            <w:br/>
            <w:br/>
            <w:br/>
            <w:r>
              <w:rPr/>
              <w:t xml:space="preserve">Установлены особенности осуществления государственного имуниципального контроля (надзора) до 2030 г. В частности, по общемуправилу плановые контрольные (надзорные) мероприятия,осуществляемые в соответствии с Федеральным законом № 248-ФЗ, могутпроводиться только в отношении объектов контроля (надзора),отнесённых к категориям чрезвычайно высокого и высокого риска,опасным производственным объектам II класса опасности,гидротехническим сооружениям II класса.</w:t>
            </w:r>
            <w:br/>
            <w:br/>
            <w:r>
              <w:rPr/>
              <w:t xml:space="preserve">В планы проведения плановых контрольных (надзорных) мероприятий до2030 года не включаются плановые контрольные (надзорные)мероприятия в отношении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 В таком случае профилактический визитпроводится в том числе в целях оценки соблюдения обязательныхтребований и предусматривает возможность проведения осмотра, отборапроб (образцов), истребования документов, испытания,инструментального обследования, экспертизы. Срок проведенияпрофилактического визита может быть продлён на срок, необходимыйдля инструментального обследования, но не более 3 рабочих дней.Если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выдаётся предписание об устранении выявленныхнарушений. В случае выдачи предписания об устранении выявленныхнарушений контролируемому лицу копия указанного предписаниянаправляется в орган, осуществляющий функции и полномочияучредителя контролируемого лица.</w:t>
            </w:r>
            <w:br/>
            <w:br/>
            <w:r>
              <w:rPr/>
              <w:t xml:space="preserve">Также установлено,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До 2030 года жалоба на решение контрольного (надзорного) органа,действия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«Огосударственном контроле (надзоре) и муниципальном контроле вРоссийской Федерации»,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системы«Единый портал государственных и муниципальных услуг (функций)»)или являющегося индивидуальным предпринимателем.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2025-11-17T03:36:55+03:00</dcterms:created>
  <dcterms:modified xsi:type="dcterms:W3CDTF">2025-11-17T03:36:55+03:00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