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по проведениюаварийно-спасательных работ при ликвидации ЧС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по проведениюаварийно-спасательных работ при ликвидации ЧС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В состязаниях участвовали 4 команды от специальныхпожарно-спасательных частей. Перед участниками была поставленазадача в максимально короткий срок «вскрыть» попавший в ДТПавтомобиль с помощью гидравлического аварийно-спасательногоинструмента, правильно извлечь из салона «пострадавших» и оказатьим первую помощь.</w:t>
            </w:r>
            <w:br/>
            <w:br/>
            <w:r>
              <w:rPr/>
              <w:t xml:space="preserve">Подобные соревнования проводятся с целью отработки личным составомпрактических навыков по оказанию помощи людям, пострадавшим врезультате ДТП, повышения уровня профессиональной подготовки, обменопытом, применение приемов и способов спасения людей и оказания импервой помощи.</w:t>
            </w:r>
            <w:br/>
            <w:br/>
            <w:r>
              <w:rPr/>
              <w:t xml:space="preserve">По итогам соревнований первое место заняла команда специальнойпожарно-спасательной части № 4. Второе место заняла команда СПСЧ №1, на третьем месте команда специальной пожарно-спасательной части№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2026-01-19T17:07:37+03:00</dcterms:created>
  <dcterms:modified xsi:type="dcterms:W3CDTF">2026-01-19T17:07:37+03:00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